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E3936">
      <w:pPr>
        <w:widowControl/>
        <w:adjustRightInd w:val="0"/>
        <w:snapToGrid w:val="0"/>
        <w:spacing w:line="25" w:lineRule="atLeast"/>
        <w:rPr>
          <w:rFonts w:asciiTheme="majorEastAsia" w:hAnsiTheme="majorEastAsia" w:eastAsiaTheme="majorEastAsia" w:cstheme="majorEastAsia"/>
          <w:b/>
          <w:kern w:val="0"/>
          <w:sz w:val="28"/>
          <w:szCs w:val="28"/>
        </w:rPr>
      </w:pPr>
      <w:bookmarkStart w:id="0" w:name="_GoBack"/>
      <w:bookmarkEnd w:id="0"/>
      <w:r>
        <w:rPr>
          <w:rFonts w:hint="eastAsia" w:asciiTheme="majorEastAsia" w:hAnsiTheme="majorEastAsia" w:eastAsiaTheme="majorEastAsia" w:cstheme="majorEastAsia"/>
          <w:b/>
          <w:kern w:val="0"/>
          <w:sz w:val="28"/>
          <w:szCs w:val="28"/>
        </w:rPr>
        <w:t>附件二：</w:t>
      </w:r>
    </w:p>
    <w:p w14:paraId="2DACFED5">
      <w:pPr>
        <w:widowControl/>
        <w:adjustRightInd w:val="0"/>
        <w:snapToGrid w:val="0"/>
        <w:spacing w:line="25" w:lineRule="atLeast"/>
        <w:jc w:val="center"/>
        <w:rPr>
          <w:rFonts w:asciiTheme="majorEastAsia" w:hAnsiTheme="majorEastAsia" w:eastAsiaTheme="majorEastAsia" w:cstheme="majorEastAsia"/>
          <w:b/>
          <w:bCs/>
          <w:kern w:val="0"/>
          <w:sz w:val="32"/>
          <w:szCs w:val="32"/>
        </w:rPr>
      </w:pPr>
      <w:r>
        <w:rPr>
          <w:rFonts w:hint="eastAsia" w:asciiTheme="majorEastAsia" w:hAnsiTheme="majorEastAsia" w:eastAsiaTheme="majorEastAsia" w:cstheme="majorEastAsia"/>
          <w:b/>
          <w:bCs/>
          <w:kern w:val="0"/>
          <w:sz w:val="32"/>
          <w:szCs w:val="32"/>
        </w:rPr>
        <w:t>南京铁道职业技术学院</w:t>
      </w:r>
    </w:p>
    <w:p w14:paraId="22BF3115">
      <w:pPr>
        <w:widowControl/>
        <w:adjustRightInd w:val="0"/>
        <w:snapToGrid w:val="0"/>
        <w:spacing w:line="25" w:lineRule="atLeast"/>
        <w:jc w:val="center"/>
        <w:rPr>
          <w:rFonts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2"/>
          <w:szCs w:val="32"/>
        </w:rPr>
        <w:t>2025年提前招生艺术特长生招生办法</w:t>
      </w:r>
    </w:p>
    <w:p w14:paraId="6B5D507C">
      <w:pPr>
        <w:widowControl/>
        <w:adjustRightInd w:val="0"/>
        <w:snapToGrid w:val="0"/>
        <w:spacing w:line="25" w:lineRule="atLeast"/>
        <w:jc w:val="center"/>
        <w:rPr>
          <w:rFonts w:ascii="仿宋" w:hAnsi="仿宋" w:eastAsia="仿宋" w:cs="宋体"/>
          <w:b/>
          <w:bCs/>
          <w:kern w:val="0"/>
          <w:sz w:val="28"/>
          <w:szCs w:val="28"/>
        </w:rPr>
      </w:pPr>
    </w:p>
    <w:p w14:paraId="17B50A5A">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为全面推进素质教育，活跃校园文化生活，进一步充实学校大学生艺术团，根据江苏省教育考试院相关规定，结合学校实际情况，特制定我校艺术特长生招生办法。</w:t>
      </w:r>
    </w:p>
    <w:p w14:paraId="20DC905E">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一、招收项目及计划</w:t>
      </w:r>
    </w:p>
    <w:p w14:paraId="6CD6C840">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2025年提前招生招收声乐类、器乐类、舞蹈类特长生，招生总数为20人。</w:t>
      </w:r>
    </w:p>
    <w:p w14:paraId="1F0770CF">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二、报名条件</w:t>
      </w:r>
    </w:p>
    <w:p w14:paraId="7E48E6D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1.符合南京铁道职业技术学院2025年提前招生考生报名要求。</w:t>
      </w:r>
    </w:p>
    <w:p w14:paraId="54D4F14E">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2.专业要求（具备以下条件之一）：</w:t>
      </w:r>
    </w:p>
    <w:p w14:paraId="0B56A552">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（1）需在2024年12月31日前取得报考类别文化与旅游部权威认证的全国社会艺术水平专业考级证书八级及以上证书。</w:t>
      </w:r>
    </w:p>
    <w:p w14:paraId="290F6F7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（2）参加江苏省2025年普通高校招生音乐、舞蹈等专业省统考达到合格线以上。</w:t>
      </w:r>
    </w:p>
    <w:p w14:paraId="51189A46">
      <w:pPr>
        <w:snapToGrid w:val="0"/>
        <w:spacing w:line="25" w:lineRule="atLeast"/>
        <w:ind w:firstLine="560" w:firstLineChars="200"/>
        <w:rPr>
          <w:rFonts w:ascii="仿宋_GB2312" w:hAnsi="宋体" w:eastAsia="仿宋_GB2312" w:cs="宋体"/>
          <w:kern w:val="0"/>
          <w:sz w:val="28"/>
          <w:szCs w:val="28"/>
        </w:rPr>
      </w:pPr>
    </w:p>
    <w:p w14:paraId="20C76769">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三、报名办法</w:t>
      </w:r>
    </w:p>
    <w:p w14:paraId="001560FD">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1.网上报名。考生根据合格性考试成绩、报名条件和专业计划，登录江苏省教育考试院官方网站（http://www.jseea.cn/）或我校网站（http://www.njrts.edu.cn/）进行网上报名。</w:t>
      </w:r>
    </w:p>
    <w:p w14:paraId="26F24CA0">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2.艺术特长考生还须提供以下材料：</w:t>
      </w:r>
    </w:p>
    <w:p w14:paraId="2E609C46">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（1）填报《南京铁道职业技术学院2025年提前招生艺术特长生报名表》（见附件）；</w:t>
      </w:r>
    </w:p>
    <w:p w14:paraId="08B2137E">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（2）相应报考类别的等级证书复印件（报到现场须出示原件）或相关专业省统考成绩单；</w:t>
      </w:r>
    </w:p>
    <w:p w14:paraId="2AA2EBC7">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（3）可提供参加比赛的获奖证明或重要表演活动相关照片等支撑材料。</w:t>
      </w:r>
    </w:p>
    <w:p w14:paraId="75058A30">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以上材料于2025年3月1</w:t>
      </w:r>
      <w:r>
        <w:rPr>
          <w:rFonts w:ascii="仿宋_GB2312" w:hAnsi="宋体" w:eastAsia="仿宋_GB2312" w:cs="宋体"/>
          <w:kern w:val="0"/>
          <w:sz w:val="28"/>
          <w:szCs w:val="28"/>
        </w:rPr>
        <w:t>0</w:t>
      </w:r>
      <w:r>
        <w:rPr>
          <w:rFonts w:hint="eastAsia" w:ascii="仿宋_GB2312" w:hAnsi="宋体" w:eastAsia="仿宋_GB2312" w:cs="宋体"/>
          <w:kern w:val="0"/>
          <w:sz w:val="28"/>
          <w:szCs w:val="28"/>
        </w:rPr>
        <w:t>日17:00前用电子邮件打包发送至邮箱ntyyszx@163.com。材料送达后,学校会组织专业领域的专家对考生所提交的材料进行审核，符合条件的考生予以公示。</w:t>
      </w:r>
    </w:p>
    <w:p w14:paraId="6CC46CA8">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3.凡报考我校艺术特长生，必须持身份证原件、报名表原件和证书、成绩单、证明等材料原件来校进行现场确认,参加艺术特长生资格考试，并交纳加试费60元。</w:t>
      </w:r>
    </w:p>
    <w:p w14:paraId="1FDB6FD8">
      <w:pPr>
        <w:snapToGrid w:val="0"/>
        <w:spacing w:line="25" w:lineRule="atLeast"/>
        <w:ind w:firstLine="560" w:firstLineChars="200"/>
        <w:rPr>
          <w:rFonts w:ascii="仿宋_GB2312" w:hAnsi="宋体" w:eastAsia="仿宋_GB2312" w:cs="宋体"/>
          <w:kern w:val="0"/>
          <w:sz w:val="28"/>
          <w:szCs w:val="28"/>
        </w:rPr>
      </w:pPr>
    </w:p>
    <w:p w14:paraId="07F20EE2">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四、资格考试时间及地点</w:t>
      </w:r>
    </w:p>
    <w:p w14:paraId="6127ACD4">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考试时间：2025年3月1</w:t>
      </w:r>
      <w:r>
        <w:rPr>
          <w:rFonts w:ascii="仿宋_GB2312" w:hAnsi="宋体" w:eastAsia="仿宋_GB2312" w:cs="宋体"/>
          <w:kern w:val="0"/>
          <w:sz w:val="28"/>
          <w:szCs w:val="28"/>
        </w:rPr>
        <w:t>5</w:t>
      </w:r>
      <w:r>
        <w:rPr>
          <w:rFonts w:hint="eastAsia" w:ascii="仿宋_GB2312" w:hAnsi="宋体" w:eastAsia="仿宋_GB2312" w:cs="宋体"/>
          <w:kern w:val="0"/>
          <w:sz w:val="28"/>
          <w:szCs w:val="28"/>
        </w:rPr>
        <w:t>日 9:00—12:00</w:t>
      </w:r>
    </w:p>
    <w:p w14:paraId="3F9CCC2D">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报到地点：南京铁道职业技术学院体育馆大学生活动中心</w:t>
      </w:r>
    </w:p>
    <w:p w14:paraId="74A22541">
      <w:pPr>
        <w:snapToGrid w:val="0"/>
        <w:spacing w:line="25" w:lineRule="atLeast"/>
        <w:ind w:firstLine="560" w:firstLineChars="200"/>
        <w:rPr>
          <w:rFonts w:ascii="仿宋_GB2312" w:hAnsi="宋体" w:eastAsia="仿宋_GB2312" w:cs="宋体"/>
          <w:kern w:val="0"/>
          <w:sz w:val="28"/>
          <w:szCs w:val="28"/>
        </w:rPr>
      </w:pPr>
    </w:p>
    <w:p w14:paraId="286FB64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五、资格考试内容</w:t>
      </w:r>
    </w:p>
    <w:p w14:paraId="6AABAF7A">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（一）声乐类</w:t>
      </w:r>
    </w:p>
    <w:p w14:paraId="2E1628FD">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1.考试目的：通过考生所演唱的歌曲，测定考生的嗓音条件、音准、节奏、音乐表现等。</w:t>
      </w:r>
    </w:p>
    <w:p w14:paraId="488F93F8">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2.考试内容：</w:t>
      </w:r>
    </w:p>
    <w:p w14:paraId="33A3E62D">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（1）演唱歌曲1首，中外民歌、艺术歌曲、创作歌曲和歌剧咏叹调、戏曲选段（不包括通俗歌曲），曲目自选，演唱时间不超过4分钟。</w:t>
      </w:r>
    </w:p>
    <w:p w14:paraId="38371324">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（2）视唱练耳：</w:t>
      </w:r>
    </w:p>
    <w:p w14:paraId="00E9B5A2">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视唱：无升降记号的旋律演唱（简谱、五线谱各一条）。</w:t>
      </w:r>
    </w:p>
    <w:p w14:paraId="0642B338">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练耳：听音（音程与和弦）</w:t>
      </w:r>
    </w:p>
    <w:p w14:paraId="3BD0047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（3）旋律模唱。</w:t>
      </w:r>
    </w:p>
    <w:p w14:paraId="252A5500">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3.考试要求：</w:t>
      </w:r>
    </w:p>
    <w:p w14:paraId="475FD156">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（1）声带无问题，能够运用良好的发声方法进行演唱。</w:t>
      </w:r>
    </w:p>
    <w:p w14:paraId="0EF8A8DC">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（2）用较准确的语音(普通话、方言、外国语言)演唱。</w:t>
      </w:r>
    </w:p>
    <w:p w14:paraId="161229B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（3）歌剧咏叹调须用原调演唱。</w:t>
      </w:r>
    </w:p>
    <w:p w14:paraId="3AC6B6E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4.考试形式：面试，现场演唱。</w:t>
      </w:r>
    </w:p>
    <w:p w14:paraId="46940D38">
      <w:pPr>
        <w:snapToGrid w:val="0"/>
        <w:spacing w:line="25" w:lineRule="atLeast"/>
        <w:ind w:firstLine="422" w:firstLineChars="150"/>
        <w:rPr>
          <w:rFonts w:ascii="仿宋_GB2312" w:hAnsi="宋体" w:eastAsia="仿宋_GB2312" w:cs="宋体"/>
          <w:kern w:val="0"/>
          <w:sz w:val="28"/>
          <w:szCs w:val="28"/>
        </w:rPr>
      </w:pPr>
      <w:r>
        <w:rPr>
          <w:rFonts w:hint="eastAsia" w:ascii="仿宋_GB2312" w:hAnsi="宋体" w:eastAsia="仿宋_GB2312" w:cs="宋体"/>
          <w:b/>
          <w:kern w:val="0"/>
          <w:sz w:val="28"/>
          <w:szCs w:val="28"/>
        </w:rPr>
        <w:t>注：</w:t>
      </w:r>
      <w:r>
        <w:rPr>
          <w:rFonts w:hint="eastAsia" w:ascii="仿宋_GB2312" w:hAnsi="宋体" w:eastAsia="仿宋_GB2312" w:cs="宋体"/>
          <w:kern w:val="0"/>
          <w:sz w:val="28"/>
          <w:szCs w:val="28"/>
        </w:rPr>
        <w:t>考生须背谱演唱；演唱可使用钢琴伴奏，伴奏人员由考生个人聘请；如使用伴奏音乐，则伴奏音乐自备（MP3音频文件）。视唱练耳及旋律模唱内容由考试方提供，现场抽取。</w:t>
      </w:r>
    </w:p>
    <w:p w14:paraId="16EABBBC">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(二)器乐类</w:t>
      </w:r>
    </w:p>
    <w:p w14:paraId="79F2FF4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1.考试目的：考查考生的演奏水平。</w:t>
      </w:r>
    </w:p>
    <w:p w14:paraId="43EC3689">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2.考试内容</w:t>
      </w:r>
    </w:p>
    <w:p w14:paraId="17263AE7">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（1）乐器种类规定：中外各类管弦乐器、弹拨乐器及手风琴等(竖笛、口琴、风琴、单排键电子琴、电吉它、葫芦丝、葫芦笙、巴乌、喉管、秦琴等不能列为考试项目)。</w:t>
      </w:r>
    </w:p>
    <w:p w14:paraId="64B9580E">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（2）演奏器乐作品一首，曲目自选，时间不超过6分钟。</w:t>
      </w:r>
    </w:p>
    <w:p w14:paraId="24DF4100">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（3）演奏能代表自身最高水平的练习曲片段，曲目自选，时间不超过2分钟。</w:t>
      </w:r>
    </w:p>
    <w:p w14:paraId="36C88D30">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（4）视唱练耳：</w:t>
      </w:r>
    </w:p>
    <w:p w14:paraId="32698446">
      <w:pPr>
        <w:snapToGrid w:val="0"/>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视唱：无升降记号的旋律演唱，民乐考生考察简谱一条，西洋乐考生考察五线谱一条；</w:t>
      </w:r>
    </w:p>
    <w:p w14:paraId="05B52CFD">
      <w:pPr>
        <w:snapToGrid w:val="0"/>
        <w:spacing w:line="25" w:lineRule="atLeast"/>
        <w:ind w:firstLine="700" w:firstLineChars="250"/>
        <w:rPr>
          <w:rFonts w:ascii="仿宋_GB2312" w:hAnsi="宋体" w:eastAsia="仿宋_GB2312" w:cs="宋体"/>
          <w:kern w:val="0"/>
          <w:sz w:val="28"/>
          <w:szCs w:val="28"/>
        </w:rPr>
      </w:pPr>
      <w:r>
        <w:rPr>
          <w:rFonts w:hint="eastAsia" w:ascii="仿宋_GB2312" w:hAnsi="宋体" w:eastAsia="仿宋_GB2312" w:cs="宋体"/>
          <w:kern w:val="0"/>
          <w:sz w:val="28"/>
          <w:szCs w:val="28"/>
        </w:rPr>
        <w:t>练耳：听音（音程与和弦）。</w:t>
      </w:r>
    </w:p>
    <w:p w14:paraId="03D9F0E3">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（5）视奏一条</w:t>
      </w:r>
    </w:p>
    <w:p w14:paraId="6291A01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3.考试要求</w:t>
      </w:r>
    </w:p>
    <w:p w14:paraId="3AC1EAE9">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（1）演奏流畅、准确。无不良演奏习惯及明显失误。</w:t>
      </w:r>
    </w:p>
    <w:p w14:paraId="6728438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（2）能感悟音乐作品，准确把握音乐风格。</w:t>
      </w:r>
    </w:p>
    <w:p w14:paraId="66BE7E61">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（3）考生完成乐曲演奏的完整性的把握。</w:t>
      </w:r>
    </w:p>
    <w:p w14:paraId="0210E53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（4）演奏作品的级别及难易程度将作为评分参照标准之一。</w:t>
      </w:r>
    </w:p>
    <w:p w14:paraId="7078E0A6">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4.考试形式：面试，现场演奏(不允许伴奏)。</w:t>
      </w:r>
    </w:p>
    <w:p w14:paraId="291FB301">
      <w:pPr>
        <w:snapToGrid w:val="0"/>
        <w:spacing w:line="25" w:lineRule="atLeast"/>
        <w:ind w:firstLine="562" w:firstLineChars="200"/>
        <w:rPr>
          <w:rFonts w:ascii="仿宋_GB2312" w:hAnsi="宋体" w:eastAsia="仿宋_GB2312" w:cs="宋体"/>
          <w:kern w:val="0"/>
          <w:sz w:val="28"/>
          <w:szCs w:val="28"/>
        </w:rPr>
      </w:pPr>
      <w:r>
        <w:rPr>
          <w:rFonts w:hint="eastAsia" w:ascii="仿宋_GB2312" w:hAnsi="宋体" w:eastAsia="仿宋_GB2312" w:cs="宋体"/>
          <w:b/>
          <w:kern w:val="0"/>
          <w:sz w:val="28"/>
          <w:szCs w:val="28"/>
        </w:rPr>
        <w:t>注：</w:t>
      </w:r>
      <w:r>
        <w:rPr>
          <w:rFonts w:hint="eastAsia" w:ascii="仿宋_GB2312" w:hAnsi="宋体" w:eastAsia="仿宋_GB2312" w:cs="宋体"/>
          <w:kern w:val="0"/>
          <w:sz w:val="28"/>
          <w:szCs w:val="28"/>
        </w:rPr>
        <w:t>现场演奏；乐器自备（钢琴除外）；主考教师可根据具体情况调整考生演奏的时间。视唱练耳及视奏内容由考试方提供，现场抽取。</w:t>
      </w:r>
    </w:p>
    <w:p w14:paraId="2EF3D4A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（三） 舞蹈类</w:t>
      </w:r>
    </w:p>
    <w:p w14:paraId="48B9D54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1.考试目的：通过考生所表演的舞蹈，测定考生的基本功能力及表演水平。</w:t>
      </w:r>
    </w:p>
    <w:p w14:paraId="74423A92">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2.考试内容：</w:t>
      </w:r>
    </w:p>
    <w:p w14:paraId="5BF558C4">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（1）古典舞、民间舞、芭蕾舞、现代舞、当代舞，考生自选舞蹈片段或组合一个，时间不超过5分钟。</w:t>
      </w:r>
    </w:p>
    <w:p w14:paraId="35D8D295">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（2）加试 ①基本功展示 ② 舞蹈即兴表演 ③ 模仿舞蹈动作。</w:t>
      </w:r>
    </w:p>
    <w:p w14:paraId="711EA422">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3.考试要求：自备音乐伴奏（MP3音频文件）；穿着练功服或演出服。（身材匀称，男生身高172cm以上，女生身高162cm以上）。</w:t>
      </w:r>
    </w:p>
    <w:p w14:paraId="1052459F">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4.考试形式：面试，现场表演（音乐伴奏）。</w:t>
      </w:r>
    </w:p>
    <w:p w14:paraId="66279E70">
      <w:pPr>
        <w:snapToGrid w:val="0"/>
        <w:spacing w:line="25" w:lineRule="atLeast"/>
        <w:ind w:firstLine="562" w:firstLineChars="200"/>
        <w:rPr>
          <w:rFonts w:ascii="仿宋_GB2312" w:hAnsi="宋体" w:eastAsia="仿宋_GB2312" w:cs="宋体"/>
          <w:kern w:val="0"/>
          <w:sz w:val="28"/>
          <w:szCs w:val="28"/>
        </w:rPr>
      </w:pPr>
      <w:r>
        <w:rPr>
          <w:rFonts w:hint="eastAsia" w:ascii="仿宋_GB2312" w:hAnsi="宋体" w:eastAsia="仿宋_GB2312" w:cs="宋体"/>
          <w:b/>
          <w:kern w:val="0"/>
          <w:sz w:val="28"/>
          <w:szCs w:val="28"/>
        </w:rPr>
        <w:t>注：</w:t>
      </w:r>
      <w:r>
        <w:rPr>
          <w:rFonts w:hint="eastAsia" w:ascii="仿宋_GB2312" w:hAnsi="宋体" w:eastAsia="仿宋_GB2312" w:cs="宋体"/>
          <w:kern w:val="0"/>
          <w:sz w:val="28"/>
          <w:szCs w:val="28"/>
        </w:rPr>
        <w:t>伴奏音乐自备（MP3音频文件）。</w:t>
      </w:r>
    </w:p>
    <w:p w14:paraId="625269AA">
      <w:pPr>
        <w:snapToGrid w:val="0"/>
        <w:spacing w:line="25" w:lineRule="atLeast"/>
        <w:ind w:firstLine="560" w:firstLineChars="200"/>
        <w:rPr>
          <w:rFonts w:ascii="仿宋_GB2312" w:hAnsi="宋体" w:eastAsia="仿宋_GB2312" w:cs="宋体"/>
          <w:kern w:val="0"/>
          <w:sz w:val="28"/>
          <w:szCs w:val="28"/>
        </w:rPr>
      </w:pPr>
    </w:p>
    <w:p w14:paraId="17964D8E">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六、考核及录取办法</w:t>
      </w:r>
    </w:p>
    <w:p w14:paraId="28D94A6C">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1．考生参加我校组织的艺术特长生资格考试，总分为200分，120分为合格分。根据招生计划，按考试得分进行排序，确认获得艺术特长生的资格。若考生成绩不符合特长生要求，将按实际情况认定艺术特长生人数。</w:t>
      </w:r>
    </w:p>
    <w:p w14:paraId="12A98A58">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2．取得艺术特长生资格的考生必须参加3月1</w:t>
      </w:r>
      <w:r>
        <w:rPr>
          <w:rFonts w:ascii="仿宋_GB2312" w:hAnsi="宋体" w:eastAsia="仿宋_GB2312" w:cs="宋体"/>
          <w:kern w:val="0"/>
          <w:sz w:val="28"/>
          <w:szCs w:val="28"/>
        </w:rPr>
        <w:t>6</w:t>
      </w:r>
      <w:r>
        <w:rPr>
          <w:rFonts w:hint="eastAsia" w:ascii="仿宋_GB2312" w:hAnsi="宋体" w:eastAsia="仿宋_GB2312" w:cs="宋体"/>
          <w:kern w:val="0"/>
          <w:sz w:val="28"/>
          <w:szCs w:val="28"/>
        </w:rPr>
        <w:t>日由我校组织的文化基础考试、职业适应性测试，文化基础考试合格且职业适应性测试合格方能参加录取。</w:t>
      </w:r>
    </w:p>
    <w:p w14:paraId="307D0FE7">
      <w:pPr>
        <w:snapToGrid w:val="0"/>
        <w:spacing w:line="25" w:lineRule="atLeast"/>
        <w:ind w:firstLine="560" w:firstLineChars="200"/>
        <w:rPr>
          <w:rFonts w:ascii="仿宋" w:hAnsi="仿宋" w:eastAsia="仿宋" w:cs="宋体"/>
          <w:sz w:val="28"/>
          <w:szCs w:val="28"/>
        </w:rPr>
      </w:pPr>
      <w:r>
        <w:rPr>
          <w:rFonts w:hint="eastAsia" w:ascii="仿宋_GB2312" w:hAnsi="宋体" w:eastAsia="仿宋_GB2312" w:cs="宋体"/>
          <w:kern w:val="0"/>
          <w:sz w:val="28"/>
          <w:szCs w:val="28"/>
        </w:rPr>
        <w:t>3．符合录取资格的考生，按考生总分（考生总分=文化基础考试成绩+政策加分）由</w:t>
      </w:r>
      <w:r>
        <w:rPr>
          <w:rFonts w:ascii="仿宋_GB2312" w:hAnsi="宋体" w:eastAsia="仿宋_GB2312" w:cs="宋体"/>
          <w:kern w:val="0"/>
          <w:sz w:val="28"/>
          <w:szCs w:val="28"/>
        </w:rPr>
        <w:t>高</w:t>
      </w:r>
      <w:r>
        <w:rPr>
          <w:rFonts w:hint="eastAsia" w:ascii="仿宋_GB2312" w:hAnsi="宋体" w:eastAsia="仿宋_GB2312" w:cs="宋体"/>
          <w:kern w:val="0"/>
          <w:sz w:val="28"/>
          <w:szCs w:val="28"/>
        </w:rPr>
        <w:t>到</w:t>
      </w:r>
      <w:r>
        <w:rPr>
          <w:rFonts w:ascii="仿宋_GB2312" w:hAnsi="宋体" w:eastAsia="仿宋_GB2312" w:cs="宋体"/>
          <w:kern w:val="0"/>
          <w:sz w:val="28"/>
          <w:szCs w:val="28"/>
        </w:rPr>
        <w:t>低录取</w:t>
      </w:r>
      <w:r>
        <w:rPr>
          <w:rFonts w:hint="eastAsia" w:ascii="仿宋_GB2312" w:hAnsi="宋体" w:eastAsia="仿宋_GB2312" w:cs="宋体"/>
          <w:kern w:val="0"/>
          <w:sz w:val="28"/>
          <w:szCs w:val="28"/>
        </w:rPr>
        <w:t>，</w:t>
      </w:r>
      <w:r>
        <w:rPr>
          <w:rFonts w:ascii="仿宋_GB2312" w:hAnsi="宋体" w:eastAsia="仿宋_GB2312" w:cs="宋体"/>
          <w:kern w:val="0"/>
          <w:sz w:val="28"/>
          <w:szCs w:val="28"/>
        </w:rPr>
        <w:t>同一专业录取</w:t>
      </w:r>
      <w:r>
        <w:rPr>
          <w:rFonts w:hint="eastAsia" w:ascii="仿宋_GB2312" w:hAnsi="宋体" w:eastAsia="仿宋_GB2312" w:cs="宋体"/>
          <w:kern w:val="0"/>
          <w:sz w:val="28"/>
          <w:szCs w:val="28"/>
        </w:rPr>
        <w:t>艺术特长生人数不超过该专业计划数的</w:t>
      </w:r>
      <w:r>
        <w:rPr>
          <w:rFonts w:ascii="仿宋_GB2312" w:hAnsi="宋体" w:eastAsia="仿宋_GB2312" w:cs="宋体"/>
          <w:kern w:val="0"/>
          <w:sz w:val="28"/>
          <w:szCs w:val="28"/>
        </w:rPr>
        <w:t>5</w:t>
      </w:r>
      <w:r>
        <w:rPr>
          <w:rFonts w:hint="eastAsia" w:ascii="仿宋_GB2312" w:hAnsi="宋体" w:eastAsia="仿宋_GB2312" w:cs="宋体"/>
          <w:kern w:val="0"/>
          <w:sz w:val="28"/>
          <w:szCs w:val="28"/>
        </w:rPr>
        <w:t>%（专业计划数</w:t>
      </w:r>
      <w:r>
        <w:rPr>
          <w:rFonts w:ascii="仿宋_GB2312" w:hAnsi="宋体" w:eastAsia="仿宋_GB2312" w:cs="宋体"/>
          <w:kern w:val="0"/>
          <w:sz w:val="28"/>
          <w:szCs w:val="28"/>
        </w:rPr>
        <w:t>20</w:t>
      </w:r>
      <w:r>
        <w:rPr>
          <w:rFonts w:hint="eastAsia" w:ascii="仿宋_GB2312" w:hAnsi="宋体" w:eastAsia="仿宋_GB2312" w:cs="宋体"/>
          <w:kern w:val="0"/>
          <w:sz w:val="28"/>
          <w:szCs w:val="28"/>
        </w:rPr>
        <w:t>人以下，最多录取</w:t>
      </w:r>
      <w:r>
        <w:rPr>
          <w:rFonts w:ascii="仿宋_GB2312" w:hAnsi="宋体" w:eastAsia="仿宋_GB2312" w:cs="宋体"/>
          <w:kern w:val="0"/>
          <w:sz w:val="28"/>
          <w:szCs w:val="28"/>
        </w:rPr>
        <w:t>1</w:t>
      </w:r>
      <w:r>
        <w:rPr>
          <w:rFonts w:hint="eastAsia" w:ascii="仿宋_GB2312" w:hAnsi="宋体" w:eastAsia="仿宋_GB2312" w:cs="宋体"/>
          <w:kern w:val="0"/>
          <w:sz w:val="28"/>
          <w:szCs w:val="28"/>
        </w:rPr>
        <w:t>人；专业计划数</w:t>
      </w:r>
      <w:r>
        <w:rPr>
          <w:rFonts w:ascii="仿宋_GB2312" w:hAnsi="宋体" w:eastAsia="仿宋_GB2312" w:cs="宋体"/>
          <w:kern w:val="0"/>
          <w:sz w:val="28"/>
          <w:szCs w:val="28"/>
        </w:rPr>
        <w:t>2</w:t>
      </w:r>
      <w:r>
        <w:rPr>
          <w:rFonts w:hint="eastAsia" w:ascii="仿宋_GB2312" w:hAnsi="宋体" w:eastAsia="仿宋_GB2312" w:cs="宋体"/>
          <w:kern w:val="0"/>
          <w:sz w:val="28"/>
          <w:szCs w:val="28"/>
        </w:rPr>
        <w:t>0人及以上，录取数小数部分四舍五入）</w:t>
      </w:r>
      <w:r>
        <w:rPr>
          <w:rFonts w:cs="宋体"/>
        </w:rPr>
        <w:t>。</w:t>
      </w:r>
      <w:r>
        <w:rPr>
          <w:rFonts w:hint="eastAsia" w:ascii="仿宋_GB2312" w:hAnsi="宋体" w:eastAsia="仿宋_GB2312" w:cs="宋体"/>
          <w:kern w:val="0"/>
          <w:sz w:val="28"/>
          <w:szCs w:val="28"/>
        </w:rPr>
        <w:t>考生所报志愿6个专业已录满且服从专业调剂，依据“总分优先”原则在未录满专业中按照专业代号顺序予以调剂录取；考生所报志愿6个专业已录满且不服从专业调剂，不予录取。总分同分的考生按文化基础考试成绩、专业加试成绩、文化基础考试中数学、语文、外语成绩高者依次录取，如仍相同，比较考生专业志愿顺序，顺序在前者优先录取。</w:t>
      </w:r>
    </w:p>
    <w:p w14:paraId="53EFAD3C">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4．艺术特长生资格考试未通过，学业水平合格性考试成绩达到10合格的考生，可以普通考生身份参加学校组织的考试考核和录取。没有取得艺术特长生资格且学业水平合格性考试成绩不满足10合格的考生不得参加后续的考试考核和录取。</w:t>
      </w:r>
    </w:p>
    <w:p w14:paraId="42834794">
      <w:pPr>
        <w:snapToGrid w:val="0"/>
        <w:spacing w:line="25" w:lineRule="atLeast"/>
        <w:ind w:firstLine="560" w:firstLineChars="200"/>
        <w:rPr>
          <w:rFonts w:ascii="仿宋_GB2312" w:hAnsi="宋体" w:eastAsia="仿宋_GB2312" w:cs="宋体"/>
          <w:kern w:val="0"/>
          <w:sz w:val="28"/>
          <w:szCs w:val="28"/>
        </w:rPr>
      </w:pPr>
    </w:p>
    <w:p w14:paraId="3FD7DC3F">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七、其它说明</w:t>
      </w:r>
    </w:p>
    <w:p w14:paraId="3EBA814F">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凡以艺术特长生身份被我校录取的考生，除正常参加所录取专业的学习外，还须加入我校大学生艺术团，并参加我校统一组织的节目排演和比赛等活动。</w:t>
      </w:r>
    </w:p>
    <w:p w14:paraId="30CE2482">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八、咨询电话</w:t>
      </w:r>
    </w:p>
    <w:p w14:paraId="003E6D48">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联系人：素质教育部 李老师</w:t>
      </w:r>
    </w:p>
    <w:p w14:paraId="31B62F91">
      <w:pPr>
        <w:snapToGrid w:val="0"/>
        <w:spacing w:line="25" w:lineRule="atLeast"/>
        <w:ind w:firstLine="560" w:firstLineChars="200"/>
        <w:rPr>
          <w:rFonts w:ascii="仿宋_GB2312" w:hAnsi="宋体" w:eastAsia="仿宋_GB2312" w:cs="宋体"/>
          <w:kern w:val="0"/>
          <w:sz w:val="28"/>
          <w:szCs w:val="28"/>
        </w:rPr>
      </w:pPr>
      <w:r>
        <w:rPr>
          <w:rFonts w:hint="eastAsia" w:ascii="仿宋_GB2312" w:hAnsi="宋体" w:eastAsia="仿宋_GB2312" w:cs="宋体"/>
          <w:kern w:val="0"/>
          <w:sz w:val="28"/>
          <w:szCs w:val="28"/>
        </w:rPr>
        <w:t>联系电话：13770631219</w:t>
      </w:r>
    </w:p>
    <w:p w14:paraId="23336C91">
      <w:pPr>
        <w:snapToGrid w:val="0"/>
        <w:spacing w:line="25" w:lineRule="atLeast"/>
        <w:rPr>
          <w:rFonts w:ascii="宋体"/>
          <w:b/>
          <w:bCs/>
          <w:sz w:val="30"/>
          <w:szCs w:val="32"/>
        </w:rPr>
        <w:sectPr>
          <w:footerReference r:id="rId6" w:type="first"/>
          <w:headerReference r:id="rId3" w:type="default"/>
          <w:footerReference r:id="rId4" w:type="default"/>
          <w:footerReference r:id="rId5" w:type="even"/>
          <w:pgSz w:w="11906" w:h="16838"/>
          <w:pgMar w:top="1418" w:right="1361" w:bottom="1418" w:left="1361" w:header="851" w:footer="992" w:gutter="0"/>
          <w:cols w:space="425" w:num="1"/>
          <w:titlePg/>
          <w:docGrid w:linePitch="312" w:charSpace="0"/>
        </w:sectPr>
      </w:pPr>
    </w:p>
    <w:p w14:paraId="0CFEE5A3">
      <w:pPr>
        <w:spacing w:line="25" w:lineRule="atLeast"/>
        <w:jc w:val="left"/>
        <w:rPr>
          <w:rFonts w:asciiTheme="majorEastAsia" w:hAnsiTheme="majorEastAsia" w:eastAsiaTheme="majorEastAsia" w:cstheme="majorEastAsia"/>
          <w:b/>
          <w:bCs/>
          <w:sz w:val="30"/>
          <w:szCs w:val="32"/>
        </w:rPr>
      </w:pPr>
      <w:r>
        <w:rPr>
          <w:rFonts w:hint="eastAsia" w:asciiTheme="majorEastAsia" w:hAnsiTheme="majorEastAsia" w:eastAsiaTheme="majorEastAsia" w:cstheme="majorEastAsia"/>
          <w:b/>
          <w:bCs/>
          <w:sz w:val="30"/>
          <w:szCs w:val="32"/>
        </w:rPr>
        <w:t>附件：</w:t>
      </w:r>
    </w:p>
    <w:p w14:paraId="2F7167E0">
      <w:pPr>
        <w:spacing w:line="25" w:lineRule="atLeas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0"/>
          <w:szCs w:val="32"/>
        </w:rPr>
        <w:t>南京铁道职业技术学院</w:t>
      </w:r>
    </w:p>
    <w:tbl>
      <w:tblPr>
        <w:tblStyle w:val="9"/>
        <w:tblpPr w:leftFromText="180" w:rightFromText="180" w:vertAnchor="text" w:horzAnchor="page" w:tblpX="1897" w:tblpY="543"/>
        <w:tblOverlap w:val="never"/>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1"/>
        <w:gridCol w:w="1800"/>
        <w:gridCol w:w="900"/>
        <w:gridCol w:w="1620"/>
        <w:gridCol w:w="900"/>
        <w:gridCol w:w="1747"/>
      </w:tblGrid>
      <w:tr w14:paraId="0AFFD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1781" w:type="dxa"/>
            <w:tcBorders>
              <w:top w:val="double" w:color="auto" w:sz="4" w:space="0"/>
              <w:left w:val="double" w:color="auto" w:sz="4" w:space="0"/>
              <w:bottom w:val="single" w:color="auto" w:sz="6" w:space="0"/>
              <w:right w:val="single" w:color="auto" w:sz="6" w:space="0"/>
            </w:tcBorders>
            <w:vAlign w:val="center"/>
          </w:tcPr>
          <w:p w14:paraId="5E3F2BB0">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姓 名</w:t>
            </w:r>
          </w:p>
        </w:tc>
        <w:tc>
          <w:tcPr>
            <w:tcW w:w="1800" w:type="dxa"/>
            <w:tcBorders>
              <w:top w:val="double" w:color="auto" w:sz="4" w:space="0"/>
              <w:left w:val="single" w:color="auto" w:sz="6" w:space="0"/>
              <w:bottom w:val="single" w:color="auto" w:sz="6" w:space="0"/>
              <w:right w:val="single" w:color="auto" w:sz="6" w:space="0"/>
            </w:tcBorders>
            <w:vAlign w:val="center"/>
          </w:tcPr>
          <w:p w14:paraId="262E3E62">
            <w:pPr>
              <w:spacing w:before="120" w:beforeLines="50" w:line="25" w:lineRule="atLeast"/>
              <w:jc w:val="center"/>
              <w:rPr>
                <w:rFonts w:asciiTheme="majorEastAsia" w:hAnsiTheme="majorEastAsia" w:eastAsiaTheme="majorEastAsia" w:cstheme="majorEastAsia"/>
                <w:b/>
                <w:bCs/>
                <w:kern w:val="0"/>
                <w:sz w:val="24"/>
              </w:rPr>
            </w:pPr>
          </w:p>
        </w:tc>
        <w:tc>
          <w:tcPr>
            <w:tcW w:w="900" w:type="dxa"/>
            <w:tcBorders>
              <w:top w:val="double" w:color="auto" w:sz="4" w:space="0"/>
              <w:left w:val="single" w:color="auto" w:sz="6" w:space="0"/>
              <w:bottom w:val="single" w:color="auto" w:sz="6" w:space="0"/>
              <w:right w:val="single" w:color="auto" w:sz="6" w:space="0"/>
            </w:tcBorders>
            <w:vAlign w:val="center"/>
          </w:tcPr>
          <w:p w14:paraId="1D580A23">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性 别</w:t>
            </w:r>
          </w:p>
        </w:tc>
        <w:tc>
          <w:tcPr>
            <w:tcW w:w="1620" w:type="dxa"/>
            <w:tcBorders>
              <w:top w:val="double" w:color="auto" w:sz="4" w:space="0"/>
              <w:left w:val="single" w:color="auto" w:sz="6" w:space="0"/>
              <w:bottom w:val="single" w:color="auto" w:sz="6" w:space="0"/>
              <w:right w:val="single" w:color="auto" w:sz="6" w:space="0"/>
            </w:tcBorders>
            <w:vAlign w:val="center"/>
          </w:tcPr>
          <w:p w14:paraId="319B8652">
            <w:pPr>
              <w:spacing w:before="120" w:beforeLines="50" w:line="25" w:lineRule="atLeast"/>
              <w:jc w:val="center"/>
              <w:rPr>
                <w:rFonts w:asciiTheme="majorEastAsia" w:hAnsiTheme="majorEastAsia" w:eastAsiaTheme="majorEastAsia" w:cstheme="majorEastAsia"/>
                <w:b/>
                <w:bCs/>
                <w:kern w:val="0"/>
                <w:sz w:val="24"/>
              </w:rPr>
            </w:pPr>
          </w:p>
        </w:tc>
        <w:tc>
          <w:tcPr>
            <w:tcW w:w="900" w:type="dxa"/>
            <w:tcBorders>
              <w:top w:val="double" w:color="auto" w:sz="4" w:space="0"/>
              <w:left w:val="single" w:color="auto" w:sz="6" w:space="0"/>
              <w:bottom w:val="single" w:color="auto" w:sz="6" w:space="0"/>
              <w:right w:val="single" w:color="auto" w:sz="6" w:space="0"/>
            </w:tcBorders>
            <w:vAlign w:val="center"/>
          </w:tcPr>
          <w:p w14:paraId="37FD37AA">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民 族</w:t>
            </w:r>
          </w:p>
        </w:tc>
        <w:tc>
          <w:tcPr>
            <w:tcW w:w="1747" w:type="dxa"/>
            <w:tcBorders>
              <w:top w:val="double" w:color="auto" w:sz="4" w:space="0"/>
              <w:left w:val="single" w:color="auto" w:sz="6" w:space="0"/>
              <w:bottom w:val="single" w:color="auto" w:sz="6" w:space="0"/>
              <w:right w:val="double" w:color="auto" w:sz="4" w:space="0"/>
            </w:tcBorders>
            <w:vAlign w:val="center"/>
          </w:tcPr>
          <w:p w14:paraId="0C8A77BD">
            <w:pPr>
              <w:spacing w:before="120" w:beforeLines="50" w:line="25" w:lineRule="atLeast"/>
              <w:jc w:val="center"/>
              <w:rPr>
                <w:rFonts w:asciiTheme="majorEastAsia" w:hAnsiTheme="majorEastAsia" w:eastAsiaTheme="majorEastAsia" w:cstheme="majorEastAsia"/>
                <w:b/>
                <w:bCs/>
                <w:kern w:val="0"/>
                <w:sz w:val="24"/>
              </w:rPr>
            </w:pPr>
          </w:p>
        </w:tc>
      </w:tr>
      <w:tr w14:paraId="7D7C1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rPr>
        <w:tc>
          <w:tcPr>
            <w:tcW w:w="1781" w:type="dxa"/>
            <w:tcBorders>
              <w:top w:val="single" w:color="auto" w:sz="6" w:space="0"/>
              <w:left w:val="double" w:color="auto" w:sz="4" w:space="0"/>
              <w:bottom w:val="single" w:color="auto" w:sz="6" w:space="0"/>
              <w:right w:val="single" w:color="auto" w:sz="6" w:space="0"/>
            </w:tcBorders>
            <w:vAlign w:val="center"/>
          </w:tcPr>
          <w:p w14:paraId="6BD876E9">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出生年月</w:t>
            </w: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16713DA7">
            <w:pPr>
              <w:spacing w:before="120" w:beforeLines="50" w:line="25" w:lineRule="atLeast"/>
              <w:jc w:val="center"/>
              <w:rPr>
                <w:rFonts w:asciiTheme="majorEastAsia" w:hAnsiTheme="majorEastAsia" w:eastAsiaTheme="majorEastAsia" w:cstheme="majorEastAsia"/>
                <w:b/>
                <w:bCs/>
                <w:kern w:val="0"/>
                <w:sz w:val="24"/>
              </w:rPr>
            </w:pPr>
          </w:p>
        </w:tc>
        <w:tc>
          <w:tcPr>
            <w:tcW w:w="1620" w:type="dxa"/>
            <w:tcBorders>
              <w:top w:val="single" w:color="auto" w:sz="6" w:space="0"/>
              <w:left w:val="single" w:color="auto" w:sz="6" w:space="0"/>
              <w:bottom w:val="single" w:color="auto" w:sz="6" w:space="0"/>
              <w:right w:val="single" w:color="auto" w:sz="6" w:space="0"/>
            </w:tcBorders>
            <w:vAlign w:val="center"/>
          </w:tcPr>
          <w:p w14:paraId="2850A67E">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政治面貌</w:t>
            </w:r>
          </w:p>
        </w:tc>
        <w:tc>
          <w:tcPr>
            <w:tcW w:w="2647" w:type="dxa"/>
            <w:gridSpan w:val="2"/>
            <w:tcBorders>
              <w:top w:val="single" w:color="auto" w:sz="6" w:space="0"/>
              <w:left w:val="single" w:color="auto" w:sz="6" w:space="0"/>
              <w:bottom w:val="single" w:color="auto" w:sz="6" w:space="0"/>
              <w:right w:val="double" w:color="auto" w:sz="4" w:space="0"/>
            </w:tcBorders>
            <w:vAlign w:val="center"/>
          </w:tcPr>
          <w:p w14:paraId="1C6B1C89">
            <w:pPr>
              <w:spacing w:before="120" w:beforeLines="50" w:line="25" w:lineRule="atLeast"/>
              <w:jc w:val="center"/>
              <w:rPr>
                <w:rFonts w:asciiTheme="majorEastAsia" w:hAnsiTheme="majorEastAsia" w:eastAsiaTheme="majorEastAsia" w:cstheme="majorEastAsia"/>
                <w:b/>
                <w:bCs/>
                <w:kern w:val="0"/>
                <w:sz w:val="24"/>
              </w:rPr>
            </w:pPr>
          </w:p>
        </w:tc>
      </w:tr>
      <w:tr w14:paraId="21822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1781" w:type="dxa"/>
            <w:tcBorders>
              <w:top w:val="single" w:color="auto" w:sz="6" w:space="0"/>
              <w:left w:val="double" w:color="auto" w:sz="4" w:space="0"/>
              <w:bottom w:val="single" w:color="auto" w:sz="6" w:space="0"/>
              <w:right w:val="single" w:color="auto" w:sz="6" w:space="0"/>
            </w:tcBorders>
            <w:vAlign w:val="center"/>
          </w:tcPr>
          <w:p w14:paraId="641258B6">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身份证号码</w:t>
            </w: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2F084A9E">
            <w:pPr>
              <w:spacing w:before="120" w:beforeLines="50" w:line="25" w:lineRule="atLeast"/>
              <w:jc w:val="center"/>
              <w:rPr>
                <w:rFonts w:asciiTheme="majorEastAsia" w:hAnsiTheme="majorEastAsia" w:eastAsiaTheme="majorEastAsia" w:cstheme="majorEastAsia"/>
                <w:b/>
                <w:bCs/>
                <w:kern w:val="0"/>
                <w:sz w:val="24"/>
              </w:rPr>
            </w:pPr>
          </w:p>
        </w:tc>
        <w:tc>
          <w:tcPr>
            <w:tcW w:w="1620" w:type="dxa"/>
            <w:tcBorders>
              <w:top w:val="single" w:color="auto" w:sz="6" w:space="0"/>
              <w:left w:val="single" w:color="auto" w:sz="6" w:space="0"/>
              <w:bottom w:val="single" w:color="auto" w:sz="6" w:space="0"/>
              <w:right w:val="single" w:color="auto" w:sz="6" w:space="0"/>
            </w:tcBorders>
            <w:vAlign w:val="center"/>
          </w:tcPr>
          <w:p w14:paraId="1090232F">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联系电话</w:t>
            </w:r>
          </w:p>
        </w:tc>
        <w:tc>
          <w:tcPr>
            <w:tcW w:w="2647" w:type="dxa"/>
            <w:gridSpan w:val="2"/>
            <w:tcBorders>
              <w:top w:val="single" w:color="auto" w:sz="6" w:space="0"/>
              <w:left w:val="single" w:color="auto" w:sz="6" w:space="0"/>
              <w:bottom w:val="single" w:color="auto" w:sz="6" w:space="0"/>
              <w:right w:val="double" w:color="auto" w:sz="4" w:space="0"/>
            </w:tcBorders>
            <w:vAlign w:val="center"/>
          </w:tcPr>
          <w:p w14:paraId="54279ADD">
            <w:pPr>
              <w:spacing w:before="120" w:beforeLines="50" w:line="25" w:lineRule="atLeast"/>
              <w:jc w:val="center"/>
              <w:rPr>
                <w:rFonts w:asciiTheme="majorEastAsia" w:hAnsiTheme="majorEastAsia" w:eastAsiaTheme="majorEastAsia" w:cstheme="majorEastAsia"/>
                <w:b/>
                <w:bCs/>
                <w:kern w:val="0"/>
                <w:sz w:val="24"/>
              </w:rPr>
            </w:pPr>
          </w:p>
        </w:tc>
      </w:tr>
      <w:tr w14:paraId="417D4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trPr>
        <w:tc>
          <w:tcPr>
            <w:tcW w:w="1781" w:type="dxa"/>
            <w:tcBorders>
              <w:top w:val="single" w:color="auto" w:sz="6" w:space="0"/>
              <w:left w:val="double" w:color="auto" w:sz="4" w:space="0"/>
              <w:bottom w:val="single" w:color="auto" w:sz="6" w:space="0"/>
              <w:right w:val="single" w:color="auto" w:sz="6" w:space="0"/>
            </w:tcBorders>
            <w:vAlign w:val="center"/>
          </w:tcPr>
          <w:p w14:paraId="4999DCC3">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考生号</w:t>
            </w: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3B2DEE43">
            <w:pPr>
              <w:spacing w:before="120" w:beforeLines="50" w:line="25" w:lineRule="atLeast"/>
              <w:jc w:val="center"/>
              <w:rPr>
                <w:rFonts w:asciiTheme="majorEastAsia" w:hAnsiTheme="majorEastAsia" w:eastAsiaTheme="majorEastAsia" w:cstheme="majorEastAsia"/>
                <w:b/>
                <w:bCs/>
                <w:kern w:val="0"/>
                <w:sz w:val="24"/>
              </w:rPr>
            </w:pPr>
          </w:p>
        </w:tc>
        <w:tc>
          <w:tcPr>
            <w:tcW w:w="1620" w:type="dxa"/>
            <w:tcBorders>
              <w:top w:val="single" w:color="auto" w:sz="6" w:space="0"/>
              <w:left w:val="single" w:color="auto" w:sz="6" w:space="0"/>
              <w:bottom w:val="single" w:color="auto" w:sz="6" w:space="0"/>
              <w:right w:val="single" w:color="auto" w:sz="6" w:space="0"/>
            </w:tcBorders>
            <w:vAlign w:val="center"/>
          </w:tcPr>
          <w:p w14:paraId="55AA1181">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报考专项</w:t>
            </w:r>
          </w:p>
        </w:tc>
        <w:tc>
          <w:tcPr>
            <w:tcW w:w="2647" w:type="dxa"/>
            <w:gridSpan w:val="2"/>
            <w:tcBorders>
              <w:top w:val="single" w:color="auto" w:sz="6" w:space="0"/>
              <w:left w:val="single" w:color="auto" w:sz="6" w:space="0"/>
              <w:bottom w:val="single" w:color="auto" w:sz="6" w:space="0"/>
              <w:right w:val="double" w:color="auto" w:sz="4" w:space="0"/>
            </w:tcBorders>
            <w:vAlign w:val="center"/>
          </w:tcPr>
          <w:p w14:paraId="2D996792">
            <w:pPr>
              <w:spacing w:before="120" w:beforeLines="50" w:line="25" w:lineRule="atLeast"/>
              <w:jc w:val="center"/>
              <w:rPr>
                <w:rFonts w:asciiTheme="majorEastAsia" w:hAnsiTheme="majorEastAsia" w:eastAsiaTheme="majorEastAsia" w:cstheme="majorEastAsia"/>
                <w:b/>
                <w:bCs/>
                <w:kern w:val="0"/>
                <w:sz w:val="24"/>
              </w:rPr>
            </w:pPr>
          </w:p>
        </w:tc>
      </w:tr>
      <w:tr w14:paraId="0666F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1781" w:type="dxa"/>
            <w:tcBorders>
              <w:top w:val="single" w:color="auto" w:sz="6" w:space="0"/>
              <w:left w:val="double" w:color="auto" w:sz="4" w:space="0"/>
              <w:bottom w:val="single" w:color="auto" w:sz="6" w:space="0"/>
              <w:right w:val="single" w:color="auto" w:sz="6" w:space="0"/>
            </w:tcBorders>
            <w:vAlign w:val="center"/>
          </w:tcPr>
          <w:p w14:paraId="693BFCCA">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身 高</w:t>
            </w: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49105946">
            <w:pPr>
              <w:spacing w:before="120" w:beforeLines="50" w:line="25" w:lineRule="atLeast"/>
              <w:jc w:val="center"/>
              <w:rPr>
                <w:rFonts w:asciiTheme="majorEastAsia" w:hAnsiTheme="majorEastAsia" w:eastAsiaTheme="majorEastAsia" w:cstheme="majorEastAsia"/>
                <w:b/>
                <w:bCs/>
                <w:kern w:val="0"/>
                <w:sz w:val="24"/>
              </w:rPr>
            </w:pPr>
          </w:p>
        </w:tc>
        <w:tc>
          <w:tcPr>
            <w:tcW w:w="1620" w:type="dxa"/>
            <w:tcBorders>
              <w:top w:val="single" w:color="auto" w:sz="6" w:space="0"/>
              <w:left w:val="single" w:color="auto" w:sz="6" w:space="0"/>
              <w:bottom w:val="single" w:color="auto" w:sz="6" w:space="0"/>
              <w:right w:val="single" w:color="auto" w:sz="6" w:space="0"/>
            </w:tcBorders>
            <w:vAlign w:val="center"/>
          </w:tcPr>
          <w:p w14:paraId="41F03DA9">
            <w:pPr>
              <w:spacing w:before="120" w:beforeLines="50"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体 重</w:t>
            </w:r>
          </w:p>
        </w:tc>
        <w:tc>
          <w:tcPr>
            <w:tcW w:w="2647" w:type="dxa"/>
            <w:gridSpan w:val="2"/>
            <w:tcBorders>
              <w:top w:val="single" w:color="auto" w:sz="6" w:space="0"/>
              <w:left w:val="single" w:color="auto" w:sz="6" w:space="0"/>
              <w:bottom w:val="single" w:color="auto" w:sz="6" w:space="0"/>
              <w:right w:val="double" w:color="auto" w:sz="4" w:space="0"/>
            </w:tcBorders>
            <w:vAlign w:val="center"/>
          </w:tcPr>
          <w:p w14:paraId="08CA65E8">
            <w:pPr>
              <w:spacing w:before="120" w:beforeLines="50" w:line="25" w:lineRule="atLeast"/>
              <w:jc w:val="center"/>
              <w:rPr>
                <w:rFonts w:asciiTheme="majorEastAsia" w:hAnsiTheme="majorEastAsia" w:eastAsiaTheme="majorEastAsia" w:cstheme="majorEastAsia"/>
                <w:b/>
                <w:bCs/>
                <w:kern w:val="0"/>
                <w:sz w:val="24"/>
              </w:rPr>
            </w:pPr>
          </w:p>
        </w:tc>
      </w:tr>
      <w:tr w14:paraId="0F4C4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4" w:hRule="atLeast"/>
        </w:trPr>
        <w:tc>
          <w:tcPr>
            <w:tcW w:w="1781" w:type="dxa"/>
            <w:tcBorders>
              <w:top w:val="single" w:color="auto" w:sz="6" w:space="0"/>
              <w:left w:val="double" w:color="auto" w:sz="4" w:space="0"/>
              <w:bottom w:val="single" w:color="auto" w:sz="6" w:space="0"/>
              <w:right w:val="single" w:color="auto" w:sz="6" w:space="0"/>
            </w:tcBorders>
            <w:vAlign w:val="center"/>
          </w:tcPr>
          <w:p w14:paraId="14B1E5DD">
            <w:pPr>
              <w:spacing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个人艺术简历</w:t>
            </w:r>
          </w:p>
          <w:p w14:paraId="50F69700">
            <w:pPr>
              <w:spacing w:line="25" w:lineRule="atLeast"/>
              <w:jc w:val="center"/>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及主要技能</w:t>
            </w:r>
          </w:p>
        </w:tc>
        <w:tc>
          <w:tcPr>
            <w:tcW w:w="6967" w:type="dxa"/>
            <w:gridSpan w:val="5"/>
            <w:tcBorders>
              <w:top w:val="single" w:color="auto" w:sz="6" w:space="0"/>
              <w:left w:val="single" w:color="auto" w:sz="6" w:space="0"/>
              <w:bottom w:val="single" w:color="auto" w:sz="6" w:space="0"/>
              <w:right w:val="double" w:color="auto" w:sz="4" w:space="0"/>
            </w:tcBorders>
            <w:vAlign w:val="center"/>
          </w:tcPr>
          <w:p w14:paraId="41F19D51">
            <w:pPr>
              <w:spacing w:before="120" w:beforeLines="50" w:line="25" w:lineRule="atLeast"/>
              <w:rPr>
                <w:rFonts w:asciiTheme="majorEastAsia" w:hAnsiTheme="majorEastAsia" w:eastAsiaTheme="majorEastAsia" w:cstheme="majorEastAsia"/>
                <w:b/>
                <w:bCs/>
                <w:kern w:val="0"/>
                <w:sz w:val="24"/>
              </w:rPr>
            </w:pPr>
          </w:p>
        </w:tc>
      </w:tr>
      <w:tr w14:paraId="23060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0" w:hRule="atLeast"/>
        </w:trPr>
        <w:tc>
          <w:tcPr>
            <w:tcW w:w="1781" w:type="dxa"/>
            <w:tcBorders>
              <w:top w:val="single" w:color="auto" w:sz="6" w:space="0"/>
              <w:left w:val="double" w:color="auto" w:sz="4" w:space="0"/>
              <w:bottom w:val="single" w:color="auto" w:sz="6" w:space="0"/>
              <w:right w:val="single" w:color="auto" w:sz="6" w:space="0"/>
            </w:tcBorders>
            <w:vAlign w:val="center"/>
          </w:tcPr>
          <w:p w14:paraId="540DCE48">
            <w:pPr>
              <w:spacing w:before="120" w:beforeLines="50" w:line="25" w:lineRule="atLeast"/>
              <w:ind w:left="-23" w:leftChars="-11"/>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近三年何时何地参加何种比赛获得何种奖励</w:t>
            </w:r>
          </w:p>
        </w:tc>
        <w:tc>
          <w:tcPr>
            <w:tcW w:w="6967" w:type="dxa"/>
            <w:gridSpan w:val="5"/>
            <w:tcBorders>
              <w:top w:val="single" w:color="auto" w:sz="6" w:space="0"/>
              <w:left w:val="single" w:color="auto" w:sz="6" w:space="0"/>
              <w:bottom w:val="single" w:color="auto" w:sz="6" w:space="0"/>
              <w:right w:val="double" w:color="auto" w:sz="4" w:space="0"/>
            </w:tcBorders>
            <w:vAlign w:val="center"/>
          </w:tcPr>
          <w:p w14:paraId="37C42DA2">
            <w:pPr>
              <w:spacing w:before="120" w:beforeLines="50" w:line="25" w:lineRule="atLeast"/>
              <w:rPr>
                <w:rFonts w:asciiTheme="majorEastAsia" w:hAnsiTheme="majorEastAsia" w:eastAsiaTheme="majorEastAsia" w:cstheme="majorEastAsia"/>
                <w:b/>
                <w:bCs/>
                <w:kern w:val="0"/>
                <w:sz w:val="24"/>
              </w:rPr>
            </w:pPr>
          </w:p>
        </w:tc>
      </w:tr>
      <w:tr w14:paraId="478F7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6" w:hRule="atLeast"/>
        </w:trPr>
        <w:tc>
          <w:tcPr>
            <w:tcW w:w="1781" w:type="dxa"/>
            <w:tcBorders>
              <w:top w:val="single" w:color="auto" w:sz="6" w:space="0"/>
              <w:left w:val="double" w:color="auto" w:sz="4" w:space="0"/>
              <w:bottom w:val="single" w:color="auto" w:sz="6" w:space="0"/>
              <w:right w:val="single" w:color="auto" w:sz="6" w:space="0"/>
            </w:tcBorders>
            <w:vAlign w:val="center"/>
          </w:tcPr>
          <w:p w14:paraId="72719E4C">
            <w:pPr>
              <w:spacing w:before="120" w:beforeLines="50" w:line="25" w:lineRule="atLeast"/>
              <w:ind w:left="-23" w:leftChars="-11"/>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考生本人承诺</w:t>
            </w:r>
          </w:p>
        </w:tc>
        <w:tc>
          <w:tcPr>
            <w:tcW w:w="6967" w:type="dxa"/>
            <w:gridSpan w:val="5"/>
            <w:tcBorders>
              <w:top w:val="single" w:color="auto" w:sz="6" w:space="0"/>
              <w:left w:val="single" w:color="auto" w:sz="6" w:space="0"/>
              <w:bottom w:val="single" w:color="auto" w:sz="6" w:space="0"/>
              <w:right w:val="double" w:color="auto" w:sz="4" w:space="0"/>
            </w:tcBorders>
            <w:vAlign w:val="center"/>
          </w:tcPr>
          <w:p w14:paraId="1A688191">
            <w:pPr>
              <w:spacing w:before="120" w:beforeLines="50" w:line="25" w:lineRule="atLeast"/>
              <w:ind w:firstLine="482" w:firstLineChars="200"/>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以上信息本人已审核无误，并郑重承诺所有信息真实有效，否则责任自负。</w:t>
            </w:r>
          </w:p>
          <w:p w14:paraId="457BD62E">
            <w:pPr>
              <w:spacing w:before="120" w:beforeLines="50" w:line="25" w:lineRule="atLeast"/>
              <w:ind w:firstLine="3855" w:firstLineChars="1600"/>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考生本人签名：</w:t>
            </w:r>
          </w:p>
          <w:p w14:paraId="7BEB8047">
            <w:pPr>
              <w:spacing w:before="120" w:beforeLines="50" w:line="25" w:lineRule="atLeast"/>
              <w:rPr>
                <w:rFonts w:asciiTheme="majorEastAsia" w:hAnsiTheme="majorEastAsia" w:eastAsiaTheme="majorEastAsia" w:cstheme="majorEastAsia"/>
                <w:b/>
                <w:bCs/>
                <w:kern w:val="0"/>
                <w:sz w:val="24"/>
              </w:rPr>
            </w:pPr>
            <w:r>
              <w:rPr>
                <w:rFonts w:hint="eastAsia" w:asciiTheme="majorEastAsia" w:hAnsiTheme="majorEastAsia" w:eastAsiaTheme="majorEastAsia" w:cstheme="majorEastAsia"/>
                <w:b/>
                <w:bCs/>
                <w:kern w:val="0"/>
                <w:sz w:val="24"/>
              </w:rPr>
              <w:t xml:space="preserve">                                年    月    日</w:t>
            </w:r>
          </w:p>
          <w:p w14:paraId="758DEB08">
            <w:pPr>
              <w:spacing w:before="120" w:beforeLines="50" w:line="25" w:lineRule="atLeast"/>
              <w:rPr>
                <w:rFonts w:asciiTheme="majorEastAsia" w:hAnsiTheme="majorEastAsia" w:eastAsiaTheme="majorEastAsia" w:cstheme="majorEastAsia"/>
                <w:b/>
                <w:bCs/>
                <w:kern w:val="0"/>
                <w:sz w:val="24"/>
              </w:rPr>
            </w:pPr>
          </w:p>
        </w:tc>
      </w:tr>
    </w:tbl>
    <w:p w14:paraId="30AE50A1">
      <w:pPr>
        <w:spacing w:line="25" w:lineRule="atLeast"/>
        <w:jc w:val="center"/>
        <w:rPr>
          <w:rFonts w:asciiTheme="majorEastAsia" w:hAnsiTheme="majorEastAsia" w:eastAsiaTheme="majorEastAsia" w:cstheme="majorEastAsia"/>
          <w:b/>
          <w:bCs/>
          <w:sz w:val="30"/>
          <w:szCs w:val="32"/>
        </w:rPr>
      </w:pPr>
      <w:r>
        <w:rPr>
          <w:rFonts w:hint="eastAsia" w:asciiTheme="majorEastAsia" w:hAnsiTheme="majorEastAsia" w:eastAsiaTheme="majorEastAsia" w:cstheme="majorEastAsia"/>
          <w:b/>
          <w:bCs/>
          <w:sz w:val="30"/>
          <w:szCs w:val="32"/>
        </w:rPr>
        <w:t>2025年提前招生艺术特长生报名表</w:t>
      </w:r>
    </w:p>
    <w:p w14:paraId="0264D541">
      <w:pPr>
        <w:widowControl/>
        <w:snapToGrid w:val="0"/>
        <w:spacing w:line="25" w:lineRule="atLeast"/>
        <w:ind w:firstLine="413" w:firstLineChars="196"/>
        <w:jc w:val="left"/>
        <w:rPr>
          <w:rFonts w:ascii="仿宋_GB2312" w:hAnsi="宋体" w:eastAsia="仿宋_GB2312" w:cs="宋体"/>
          <w:b/>
          <w:kern w:val="0"/>
        </w:rPr>
      </w:pPr>
      <w:r>
        <w:rPr>
          <w:rFonts w:hint="eastAsia" w:ascii="仿宋_GB2312" w:hAnsi="宋体" w:eastAsia="仿宋_GB2312" w:cs="宋体"/>
          <w:b/>
          <w:kern w:val="0"/>
        </w:rPr>
        <w:t>此表以电子文档</w:t>
      </w:r>
      <w:r>
        <w:rPr>
          <w:rFonts w:hint="eastAsia" w:ascii="仿宋_GB2312" w:hAnsi="宋体" w:eastAsia="仿宋_GB2312" w:cs="宋体"/>
          <w:b/>
          <w:bCs/>
          <w:kern w:val="0"/>
        </w:rPr>
        <w:t>传至</w:t>
      </w:r>
      <w:r>
        <w:rPr>
          <w:rFonts w:hint="eastAsia" w:ascii="仿宋_GB2312" w:hAnsi="宋体" w:eastAsia="仿宋_GB2312" w:cs="宋体"/>
          <w:b/>
          <w:kern w:val="0"/>
        </w:rPr>
        <w:t>大学生艺术教育中心邮箱ntyyszx@163.com，在艺术特长生资格考试报到时，上交本人签名的报名表，同时提交证书证明原件材料。</w:t>
      </w:r>
    </w:p>
    <w:p w14:paraId="5F2E0CE6">
      <w:pPr>
        <w:spacing w:line="25" w:lineRule="atLeast"/>
      </w:pPr>
    </w:p>
    <w:sectPr>
      <w:pgSz w:w="11906" w:h="16838"/>
      <w:pgMar w:top="1418" w:right="1361" w:bottom="1418" w:left="1361" w:header="851" w:footer="992" w:gutter="0"/>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80BEF">
    <w:pPr>
      <w:pStyle w:val="4"/>
      <w:framePr w:wrap="around" w:vAnchor="text" w:hAnchor="margin" w:xAlign="center" w:y="1"/>
      <w:jc w:val="center"/>
      <w:rPr>
        <w:rStyle w:val="12"/>
      </w:rPr>
    </w:pPr>
    <w:r>
      <w:rPr>
        <w:rStyle w:val="12"/>
      </w:rPr>
      <w:fldChar w:fldCharType="begin"/>
    </w:r>
    <w:r>
      <w:rPr>
        <w:rStyle w:val="12"/>
      </w:rPr>
      <w:instrText xml:space="preserve">PAGE  </w:instrText>
    </w:r>
    <w:r>
      <w:rPr>
        <w:rStyle w:val="12"/>
      </w:rPr>
      <w:fldChar w:fldCharType="separate"/>
    </w:r>
    <w:r>
      <w:rPr>
        <w:rStyle w:val="12"/>
      </w:rPr>
      <w:t>4</w:t>
    </w:r>
    <w:r>
      <w:rPr>
        <w:rStyle w:val="12"/>
      </w:rPr>
      <w:fldChar w:fldCharType="end"/>
    </w:r>
  </w:p>
  <w:p w14:paraId="14B46BE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3941B4">
    <w:pPr>
      <w:pStyle w:val="4"/>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14:paraId="1E76E914">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6B009">
    <w:pPr>
      <w:pStyle w:val="4"/>
      <w:jc w:val="center"/>
    </w:pPr>
    <w:r>
      <w:rPr>
        <w:rFonts w:hint="eastAsia"/>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0D7DB">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xYjUwMWZmZDg3YTcxYzhkNWFhMDkwODZhODNiYTkifQ=="/>
  </w:docVars>
  <w:rsids>
    <w:rsidRoot w:val="001435D6"/>
    <w:rsid w:val="000667FE"/>
    <w:rsid w:val="001435D6"/>
    <w:rsid w:val="001A32CC"/>
    <w:rsid w:val="001C0BD3"/>
    <w:rsid w:val="001C6FD1"/>
    <w:rsid w:val="001E0ACD"/>
    <w:rsid w:val="001F1AB7"/>
    <w:rsid w:val="001F30B7"/>
    <w:rsid w:val="00280236"/>
    <w:rsid w:val="002A0BB4"/>
    <w:rsid w:val="002A2C51"/>
    <w:rsid w:val="002E51A7"/>
    <w:rsid w:val="00304204"/>
    <w:rsid w:val="00383A18"/>
    <w:rsid w:val="003B6959"/>
    <w:rsid w:val="003C6B5E"/>
    <w:rsid w:val="003E0BB6"/>
    <w:rsid w:val="0040549B"/>
    <w:rsid w:val="00406E41"/>
    <w:rsid w:val="004213F6"/>
    <w:rsid w:val="004230C1"/>
    <w:rsid w:val="00423143"/>
    <w:rsid w:val="004E1292"/>
    <w:rsid w:val="004F76B9"/>
    <w:rsid w:val="00500020"/>
    <w:rsid w:val="0057586F"/>
    <w:rsid w:val="0064083C"/>
    <w:rsid w:val="00673D2C"/>
    <w:rsid w:val="006805B4"/>
    <w:rsid w:val="006C2FEB"/>
    <w:rsid w:val="00772B72"/>
    <w:rsid w:val="007A40A5"/>
    <w:rsid w:val="00852D69"/>
    <w:rsid w:val="00865BD7"/>
    <w:rsid w:val="008C5674"/>
    <w:rsid w:val="008D4EC9"/>
    <w:rsid w:val="0095426F"/>
    <w:rsid w:val="00A04E11"/>
    <w:rsid w:val="00A05334"/>
    <w:rsid w:val="00A3228F"/>
    <w:rsid w:val="00AD5992"/>
    <w:rsid w:val="00AE622E"/>
    <w:rsid w:val="00AF342B"/>
    <w:rsid w:val="00B04C21"/>
    <w:rsid w:val="00B33625"/>
    <w:rsid w:val="00B47095"/>
    <w:rsid w:val="00B8272E"/>
    <w:rsid w:val="00B9495D"/>
    <w:rsid w:val="00C61F81"/>
    <w:rsid w:val="00C815EB"/>
    <w:rsid w:val="00CA5C60"/>
    <w:rsid w:val="00D03C9B"/>
    <w:rsid w:val="00D73995"/>
    <w:rsid w:val="00D914DD"/>
    <w:rsid w:val="00DB224F"/>
    <w:rsid w:val="00DD5EF3"/>
    <w:rsid w:val="00E14502"/>
    <w:rsid w:val="00E860E7"/>
    <w:rsid w:val="00EF4B3C"/>
    <w:rsid w:val="00EF7655"/>
    <w:rsid w:val="00F501E1"/>
    <w:rsid w:val="00FB69E3"/>
    <w:rsid w:val="00FD1DF5"/>
    <w:rsid w:val="07217632"/>
    <w:rsid w:val="0B694A79"/>
    <w:rsid w:val="0C47128F"/>
    <w:rsid w:val="0FB0474F"/>
    <w:rsid w:val="1B7363CC"/>
    <w:rsid w:val="1ED16490"/>
    <w:rsid w:val="1FEB532F"/>
    <w:rsid w:val="22530248"/>
    <w:rsid w:val="2FD8085C"/>
    <w:rsid w:val="338A7162"/>
    <w:rsid w:val="381B0A50"/>
    <w:rsid w:val="3B862684"/>
    <w:rsid w:val="3E067CD9"/>
    <w:rsid w:val="3E4D2083"/>
    <w:rsid w:val="41366EF0"/>
    <w:rsid w:val="477B015D"/>
    <w:rsid w:val="4AB57546"/>
    <w:rsid w:val="56FD7ECA"/>
    <w:rsid w:val="5C147DDA"/>
    <w:rsid w:val="5C2050B0"/>
    <w:rsid w:val="65D12B36"/>
    <w:rsid w:val="683C4906"/>
    <w:rsid w:val="6BF301C2"/>
    <w:rsid w:val="6C086852"/>
    <w:rsid w:val="72CB3D4A"/>
    <w:rsid w:val="734C0076"/>
    <w:rsid w:val="74B35B8B"/>
    <w:rsid w:val="77E00BFF"/>
    <w:rsid w:val="78852DA0"/>
    <w:rsid w:val="799D5192"/>
    <w:rsid w:val="7C744FD3"/>
    <w:rsid w:val="7E8B4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0"/>
    <w:semiHidden/>
    <w:unhideWhenUsed/>
    <w:uiPriority w:val="99"/>
    <w:pPr>
      <w:jc w:val="left"/>
    </w:pPr>
  </w:style>
  <w:style w:type="paragraph" w:styleId="3">
    <w:name w:val="Balloon Text"/>
    <w:basedOn w:val="1"/>
    <w:link w:val="22"/>
    <w:semiHidden/>
    <w:unhideWhenUsed/>
    <w:uiPriority w:val="99"/>
    <w:rPr>
      <w:sz w:val="18"/>
      <w:szCs w:val="18"/>
    </w:rPr>
  </w:style>
  <w:style w:type="paragraph" w:styleId="4">
    <w:name w:val="footer"/>
    <w:basedOn w:val="1"/>
    <w:link w:val="16"/>
    <w:autoRedefine/>
    <w:qFormat/>
    <w:uiPriority w:val="0"/>
    <w:pPr>
      <w:tabs>
        <w:tab w:val="center" w:pos="4153"/>
        <w:tab w:val="right" w:pos="8306"/>
      </w:tabs>
      <w:snapToGrid w:val="0"/>
      <w:jc w:val="left"/>
    </w:pPr>
    <w:rPr>
      <w:sz w:val="18"/>
      <w:szCs w:val="18"/>
    </w:rPr>
  </w:style>
  <w:style w:type="paragraph" w:styleId="5">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8"/>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8">
    <w:name w:val="annotation subject"/>
    <w:basedOn w:val="2"/>
    <w:next w:val="2"/>
    <w:link w:val="21"/>
    <w:semiHidden/>
    <w:unhideWhenUsed/>
    <w:uiPriority w:val="99"/>
    <w:rPr>
      <w:b/>
      <w:bCs/>
    </w:rPr>
  </w:style>
  <w:style w:type="character" w:styleId="11">
    <w:name w:val="Strong"/>
    <w:basedOn w:val="10"/>
    <w:autoRedefine/>
    <w:qFormat/>
    <w:uiPriority w:val="22"/>
    <w:rPr>
      <w:b/>
      <w:bCs/>
    </w:rPr>
  </w:style>
  <w:style w:type="character" w:styleId="12">
    <w:name w:val="page number"/>
    <w:basedOn w:val="10"/>
    <w:autoRedefine/>
    <w:qFormat/>
    <w:uiPriority w:val="0"/>
  </w:style>
  <w:style w:type="character" w:styleId="13">
    <w:name w:val="Hyperlink"/>
    <w:basedOn w:val="10"/>
    <w:autoRedefine/>
    <w:unhideWhenUsed/>
    <w:qFormat/>
    <w:uiPriority w:val="99"/>
    <w:rPr>
      <w:color w:val="0000FF" w:themeColor="hyperlink"/>
      <w:u w:val="single"/>
      <w14:textFill>
        <w14:solidFill>
          <w14:schemeClr w14:val="hlink"/>
        </w14:solidFill>
      </w14:textFill>
    </w:rPr>
  </w:style>
  <w:style w:type="character" w:styleId="14">
    <w:name w:val="annotation reference"/>
    <w:basedOn w:val="10"/>
    <w:semiHidden/>
    <w:unhideWhenUsed/>
    <w:uiPriority w:val="99"/>
    <w:rPr>
      <w:sz w:val="21"/>
      <w:szCs w:val="21"/>
    </w:rPr>
  </w:style>
  <w:style w:type="character" w:customStyle="1" w:styleId="15">
    <w:name w:val="页眉 字符"/>
    <w:basedOn w:val="10"/>
    <w:link w:val="5"/>
    <w:autoRedefine/>
    <w:qFormat/>
    <w:uiPriority w:val="0"/>
    <w:rPr>
      <w:rFonts w:ascii="Times New Roman" w:hAnsi="Times New Roman" w:eastAsia="宋体" w:cs="Times New Roman"/>
      <w:sz w:val="18"/>
      <w:szCs w:val="18"/>
    </w:rPr>
  </w:style>
  <w:style w:type="character" w:customStyle="1" w:styleId="16">
    <w:name w:val="页脚 字符"/>
    <w:basedOn w:val="10"/>
    <w:link w:val="4"/>
    <w:autoRedefine/>
    <w:qFormat/>
    <w:uiPriority w:val="0"/>
    <w:rPr>
      <w:rFonts w:ascii="Times New Roman" w:hAnsi="Times New Roman" w:eastAsia="宋体" w:cs="Times New Roman"/>
      <w:sz w:val="18"/>
      <w:szCs w:val="18"/>
    </w:rPr>
  </w:style>
  <w:style w:type="paragraph" w:customStyle="1" w:styleId="17">
    <w:name w:val="列出段落1"/>
    <w:basedOn w:val="1"/>
    <w:autoRedefine/>
    <w:unhideWhenUsed/>
    <w:qFormat/>
    <w:uiPriority w:val="99"/>
    <w:pPr>
      <w:ind w:firstLine="420" w:firstLineChars="200"/>
    </w:pPr>
  </w:style>
  <w:style w:type="character" w:customStyle="1" w:styleId="18">
    <w:name w:val="HTML 预设格式 字符"/>
    <w:basedOn w:val="10"/>
    <w:link w:val="6"/>
    <w:autoRedefine/>
    <w:semiHidden/>
    <w:qFormat/>
    <w:uiPriority w:val="99"/>
    <w:rPr>
      <w:rFonts w:ascii="宋体" w:hAnsi="宋体" w:eastAsia="宋体" w:cs="宋体"/>
      <w:sz w:val="24"/>
      <w:szCs w:val="24"/>
    </w:rPr>
  </w:style>
  <w:style w:type="character" w:customStyle="1" w:styleId="19">
    <w:name w:val="NormalCharacter"/>
    <w:autoRedefine/>
    <w:qFormat/>
    <w:uiPriority w:val="0"/>
  </w:style>
  <w:style w:type="character" w:customStyle="1" w:styleId="20">
    <w:name w:val="批注文字 字符"/>
    <w:basedOn w:val="10"/>
    <w:link w:val="2"/>
    <w:semiHidden/>
    <w:uiPriority w:val="99"/>
    <w:rPr>
      <w:kern w:val="2"/>
      <w:sz w:val="21"/>
      <w:szCs w:val="24"/>
    </w:rPr>
  </w:style>
  <w:style w:type="character" w:customStyle="1" w:styleId="21">
    <w:name w:val="批注主题 字符"/>
    <w:basedOn w:val="20"/>
    <w:link w:val="8"/>
    <w:semiHidden/>
    <w:uiPriority w:val="99"/>
    <w:rPr>
      <w:b/>
      <w:bCs/>
      <w:kern w:val="2"/>
      <w:sz w:val="21"/>
      <w:szCs w:val="24"/>
    </w:rPr>
  </w:style>
  <w:style w:type="character" w:customStyle="1" w:styleId="22">
    <w:name w:val="批注框文本 字符"/>
    <w:basedOn w:val="10"/>
    <w:link w:val="3"/>
    <w:semiHidden/>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2444</Words>
  <Characters>2609</Characters>
  <Lines>19</Lines>
  <Paragraphs>5</Paragraphs>
  <TotalTime>52</TotalTime>
  <ScaleCrop>false</ScaleCrop>
  <LinksUpToDate>false</LinksUpToDate>
  <CharactersWithSpaces>2662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2017-12-22T12:09:00Z</dcterms:created>
  <dc:creator>Administrator</dc:creator>
  <cp:lastModifiedBy>多多</cp:lastModifiedBy>
  <dcterms:modified xsi:type="dcterms:W3CDTF">2025-02-17T14:32:48Z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0BE53558ABA747ED86F71D19BF2F6CF7_13</vt:lpwstr>
  </property>
  <property fmtid="{D5CDD505-2E9C-101B-9397-08002B2CF9AE}" pid="4" name="KSOTemplateDocerSaveRecord">
    <vt:lpwstr>eyJoZGlkIjoiODk5Nzk4Y2ExZWUyNGM2NWRiMzgzMDIzYzViNDE1ODAiLCJ1c2VySWQiOiIyNzQ1NDQxNzUifQ==</vt:lpwstr>
  </property>
</Properties>
</file>